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1978A7B" w:rsidR="00DF3965" w:rsidRPr="00283B76" w:rsidRDefault="00B57F4D">
      <w:pPr>
        <w:jc w:val="center"/>
        <w:rPr>
          <w:rFonts w:ascii="Arial" w:hAnsi="Arial" w:cs="Arial"/>
          <w:b/>
          <w:bCs/>
        </w:rPr>
      </w:pPr>
      <w:r w:rsidRPr="00B57F4D">
        <w:rPr>
          <w:rFonts w:ascii="Arial" w:hAnsi="Arial" w:cs="Arial"/>
          <w:b/>
          <w:bCs/>
          <w:i/>
        </w:rPr>
        <w:t>Nagytarcsa</w:t>
      </w:r>
      <w:r>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358472C6" w14:textId="77777777" w:rsidR="00DF3965" w:rsidRPr="00F90C26" w:rsidRDefault="00431C63"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0C9016A0" w14:textId="77777777" w:rsidR="00B57F4D" w:rsidRPr="00B57F4D" w:rsidRDefault="00B57F4D" w:rsidP="00B57F4D">
      <w:pPr>
        <w:numPr>
          <w:ilvl w:val="0"/>
          <w:numId w:val="21"/>
        </w:numPr>
        <w:contextualSpacing/>
        <w:jc w:val="both"/>
        <w:rPr>
          <w:rFonts w:ascii="Arial" w:hAnsi="Arial" w:cs="Arial"/>
          <w:bCs/>
          <w:i/>
          <w:sz w:val="22"/>
          <w:szCs w:val="22"/>
        </w:rPr>
      </w:pPr>
      <w:r w:rsidRPr="00B57F4D">
        <w:rPr>
          <w:rFonts w:ascii="Arial" w:hAnsi="Arial" w:cs="Arial"/>
          <w:bCs/>
          <w:i/>
          <w:sz w:val="22"/>
          <w:szCs w:val="22"/>
        </w:rPr>
        <w:t>nyugdíjszerű ellátás esetén az előző hónapra vonatkozó kifizetési utalványt,</w:t>
      </w:r>
    </w:p>
    <w:p w14:paraId="0EC0A1B7" w14:textId="77777777" w:rsidR="00B57F4D" w:rsidRPr="00B57F4D" w:rsidRDefault="00B57F4D" w:rsidP="00B57F4D">
      <w:pPr>
        <w:numPr>
          <w:ilvl w:val="0"/>
          <w:numId w:val="21"/>
        </w:numPr>
        <w:contextualSpacing/>
        <w:jc w:val="both"/>
        <w:rPr>
          <w:rFonts w:ascii="Arial" w:hAnsi="Arial" w:cs="Arial"/>
          <w:bCs/>
          <w:i/>
          <w:sz w:val="22"/>
          <w:szCs w:val="22"/>
        </w:rPr>
      </w:pPr>
      <w:r w:rsidRPr="00B57F4D">
        <w:rPr>
          <w:rFonts w:ascii="Arial" w:hAnsi="Arial" w:cs="Arial"/>
          <w:bCs/>
          <w:i/>
          <w:sz w:val="22"/>
          <w:szCs w:val="22"/>
        </w:rPr>
        <w:t>havonta rendszeresen mérhető jövedelem esetén az utolsó három hónap átlagára vonatkozó munkáltatói igazolást,</w:t>
      </w:r>
    </w:p>
    <w:p w14:paraId="0F0895B1" w14:textId="77777777" w:rsidR="00B57F4D" w:rsidRPr="00B57F4D" w:rsidRDefault="00B57F4D" w:rsidP="00B57F4D">
      <w:pPr>
        <w:numPr>
          <w:ilvl w:val="0"/>
          <w:numId w:val="21"/>
        </w:numPr>
        <w:contextualSpacing/>
        <w:jc w:val="both"/>
        <w:rPr>
          <w:rFonts w:ascii="Arial" w:hAnsi="Arial" w:cs="Arial"/>
          <w:bCs/>
          <w:i/>
          <w:sz w:val="22"/>
          <w:szCs w:val="22"/>
        </w:rPr>
      </w:pPr>
      <w:r w:rsidRPr="00B57F4D">
        <w:rPr>
          <w:rFonts w:ascii="Arial" w:hAnsi="Arial" w:cs="Arial"/>
          <w:bCs/>
          <w:i/>
          <w:sz w:val="22"/>
          <w:szCs w:val="22"/>
        </w:rPr>
        <w:lastRenderedPageBreak/>
        <w:t xml:space="preserve"> havonta rendszeresen nem mérhető jövedelem, valamint egyéni vállalkozó és társas vállalkozás tagja esetén az előző egy évre vonatkozó NAV igazolást,</w:t>
      </w:r>
    </w:p>
    <w:p w14:paraId="57636138" w14:textId="77777777" w:rsidR="00B57F4D" w:rsidRPr="00B57F4D" w:rsidRDefault="00B57F4D" w:rsidP="00B57F4D">
      <w:pPr>
        <w:numPr>
          <w:ilvl w:val="0"/>
          <w:numId w:val="21"/>
        </w:numPr>
        <w:contextualSpacing/>
        <w:jc w:val="both"/>
        <w:rPr>
          <w:rFonts w:ascii="Arial" w:hAnsi="Arial" w:cs="Arial"/>
          <w:bCs/>
          <w:i/>
          <w:sz w:val="22"/>
          <w:szCs w:val="22"/>
        </w:rPr>
      </w:pPr>
      <w:r w:rsidRPr="00B57F4D">
        <w:rPr>
          <w:rFonts w:ascii="Arial" w:hAnsi="Arial" w:cs="Arial"/>
          <w:bCs/>
          <w:i/>
          <w:sz w:val="22"/>
          <w:szCs w:val="22"/>
        </w:rPr>
        <w:t xml:space="preserve"> őstermelő esetén az előző évi őstermelői tevékenységből származó jövedelem igazolását,</w:t>
      </w:r>
    </w:p>
    <w:p w14:paraId="1A958AD8" w14:textId="77777777" w:rsidR="00B57F4D" w:rsidRPr="00B57F4D" w:rsidRDefault="00B57F4D" w:rsidP="00B57F4D">
      <w:pPr>
        <w:numPr>
          <w:ilvl w:val="0"/>
          <w:numId w:val="21"/>
        </w:numPr>
        <w:contextualSpacing/>
        <w:jc w:val="both"/>
        <w:rPr>
          <w:rFonts w:ascii="Arial" w:hAnsi="Arial" w:cs="Arial"/>
          <w:bCs/>
          <w:i/>
          <w:sz w:val="22"/>
          <w:szCs w:val="22"/>
        </w:rPr>
      </w:pPr>
      <w:r w:rsidRPr="00B57F4D">
        <w:rPr>
          <w:rFonts w:ascii="Arial" w:hAnsi="Arial" w:cs="Arial"/>
          <w:bCs/>
          <w:i/>
          <w:sz w:val="22"/>
          <w:szCs w:val="22"/>
        </w:rPr>
        <w:t>munkanélküli esetén az ellátást megállapító határozatot és a kifizetésre vonatkozó bizonylatot, munkanélküli ellátás hiányában a regisztrálást igazoló iratot,</w:t>
      </w:r>
    </w:p>
    <w:p w14:paraId="75FC50B7" w14:textId="77777777" w:rsidR="00B57F4D" w:rsidRPr="00B57F4D" w:rsidRDefault="00B57F4D" w:rsidP="00B57F4D">
      <w:pPr>
        <w:numPr>
          <w:ilvl w:val="0"/>
          <w:numId w:val="21"/>
        </w:numPr>
        <w:contextualSpacing/>
        <w:jc w:val="both"/>
        <w:rPr>
          <w:rFonts w:ascii="Arial" w:hAnsi="Arial" w:cs="Arial"/>
          <w:b/>
          <w:bCs/>
          <w:i/>
          <w:sz w:val="22"/>
          <w:szCs w:val="22"/>
        </w:rPr>
      </w:pPr>
      <w:r w:rsidRPr="00B57F4D">
        <w:rPr>
          <w:rFonts w:ascii="Arial" w:hAnsi="Arial" w:cs="Arial"/>
          <w:bCs/>
          <w:i/>
          <w:sz w:val="22"/>
          <w:szCs w:val="22"/>
        </w:rPr>
        <w:t>alkalmi munkavállalás esetén az alkalmi munkavállalói könyvet.</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010F522" w14:textId="1E1CEFAC" w:rsidR="00B57F4D" w:rsidRPr="005B67C5" w:rsidRDefault="00B57F4D" w:rsidP="00B57F4D">
      <w:pPr>
        <w:numPr>
          <w:ilvl w:val="0"/>
          <w:numId w:val="22"/>
        </w:numPr>
        <w:adjustRightInd w:val="0"/>
        <w:contextualSpacing/>
        <w:jc w:val="both"/>
        <w:rPr>
          <w:rFonts w:ascii="Arial" w:hAnsi="Arial" w:cs="Arial"/>
          <w:i/>
          <w:color w:val="000000"/>
          <w:sz w:val="22"/>
          <w:szCs w:val="22"/>
        </w:rPr>
      </w:pPr>
      <w:bookmarkStart w:id="0" w:name="_GoBack"/>
      <w:bookmarkEnd w:id="0"/>
      <w:r w:rsidRPr="005B67C5">
        <w:rPr>
          <w:rFonts w:ascii="Arial" w:hAnsi="Arial" w:cs="Arial"/>
          <w:i/>
          <w:color w:val="000000"/>
          <w:sz w:val="22"/>
          <w:szCs w:val="22"/>
        </w:rPr>
        <w:t xml:space="preserve"> </w:t>
      </w:r>
      <w:r w:rsidRPr="005B67C5">
        <w:rPr>
          <w:rFonts w:ascii="Arial" w:hAnsi="Arial" w:cs="Arial"/>
          <w:i/>
          <w:color w:val="000000"/>
          <w:sz w:val="22"/>
          <w:szCs w:val="22"/>
        </w:rPr>
        <w:t>vagyon nyilatkozatot</w:t>
      </w:r>
    </w:p>
    <w:p w14:paraId="4598DDE9" w14:textId="77777777" w:rsidR="00B57F4D" w:rsidRPr="00B57F4D" w:rsidRDefault="00B57F4D" w:rsidP="00B57F4D">
      <w:pPr>
        <w:numPr>
          <w:ilvl w:val="0"/>
          <w:numId w:val="22"/>
        </w:numPr>
        <w:adjustRightInd w:val="0"/>
        <w:contextualSpacing/>
        <w:jc w:val="both"/>
        <w:rPr>
          <w:rFonts w:ascii="Arial" w:hAnsi="Arial" w:cs="Arial"/>
          <w:i/>
          <w:color w:val="000000"/>
          <w:sz w:val="22"/>
          <w:szCs w:val="22"/>
        </w:rPr>
      </w:pPr>
      <w:r w:rsidRPr="00B57F4D">
        <w:rPr>
          <w:rFonts w:ascii="Arial" w:hAnsi="Arial" w:cs="Arial"/>
          <w:i/>
          <w:color w:val="000000"/>
          <w:sz w:val="22"/>
          <w:szCs w:val="22"/>
        </w:rPr>
        <w:t>eltartottak iskolalátogatási (óvodai) igazolását</w:t>
      </w:r>
    </w:p>
    <w:p w14:paraId="14861534" w14:textId="77777777" w:rsidR="00B57F4D" w:rsidRPr="00B57F4D" w:rsidRDefault="00B57F4D" w:rsidP="00B57F4D">
      <w:pPr>
        <w:numPr>
          <w:ilvl w:val="0"/>
          <w:numId w:val="22"/>
        </w:numPr>
        <w:adjustRightInd w:val="0"/>
        <w:contextualSpacing/>
        <w:jc w:val="both"/>
        <w:rPr>
          <w:rFonts w:ascii="Arial" w:hAnsi="Arial" w:cs="Arial"/>
          <w:i/>
          <w:color w:val="000000"/>
          <w:sz w:val="22"/>
          <w:szCs w:val="22"/>
        </w:rPr>
      </w:pPr>
      <w:r w:rsidRPr="00B57F4D">
        <w:rPr>
          <w:rFonts w:ascii="Arial" w:hAnsi="Arial" w:cs="Arial"/>
          <w:i/>
          <w:color w:val="000000"/>
          <w:sz w:val="22"/>
          <w:szCs w:val="22"/>
        </w:rPr>
        <w:t>A szociális körülmények rövid, érthető igazolására alkalmas irat, nyilatkozat, bankszámlakivonat stb.</w:t>
      </w:r>
    </w:p>
    <w:p w14:paraId="44E249F9" w14:textId="77777777" w:rsidR="00B57F4D" w:rsidRDefault="00B57F4D" w:rsidP="00361114">
      <w:pPr>
        <w:jc w:val="both"/>
        <w:rPr>
          <w:rFonts w:ascii="Arial" w:hAnsi="Arial" w:cs="Arial"/>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w:t>
      </w:r>
      <w:r w:rsidRPr="0032664F">
        <w:rPr>
          <w:rFonts w:ascii="Arial" w:hAnsi="Arial" w:cs="Arial"/>
          <w:i/>
          <w:snapToGrid w:val="0"/>
          <w:sz w:val="22"/>
          <w:szCs w:val="22"/>
        </w:rPr>
        <w:lastRenderedPageBreak/>
        <w:t>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lastRenderedPageBreak/>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w:t>
      </w:r>
      <w:r w:rsidRPr="00F90C26">
        <w:rPr>
          <w:rFonts w:ascii="Arial" w:hAnsi="Arial" w:cs="Arial"/>
          <w:bCs/>
          <w:sz w:val="22"/>
          <w:szCs w:val="22"/>
        </w:rPr>
        <w:lastRenderedPageBreak/>
        <w:t>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proofErr w:type="gramStart"/>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w:t>
      </w:r>
      <w:proofErr w:type="gramEnd"/>
      <w:r w:rsidRPr="00245536">
        <w:rPr>
          <w:rFonts w:ascii="Arial" w:hAnsi="Arial" w:cs="Arial"/>
          <w:sz w:val="22"/>
          <w:szCs w:val="22"/>
        </w:rPr>
        <w:t xml:space="preserve"> </w:t>
      </w:r>
      <w:proofErr w:type="gramStart"/>
      <w:r w:rsidRPr="00245536">
        <w:rPr>
          <w:rFonts w:ascii="Arial" w:hAnsi="Arial" w:cs="Arial"/>
          <w:sz w:val="22"/>
          <w:szCs w:val="22"/>
        </w:rPr>
        <w:t>illetve</w:t>
      </w:r>
      <w:proofErr w:type="gramEnd"/>
      <w:r w:rsidRPr="00245536">
        <w:rPr>
          <w:rFonts w:ascii="Arial" w:hAnsi="Arial" w:cs="Arial"/>
          <w:sz w:val="22"/>
          <w:szCs w:val="22"/>
        </w:rPr>
        <w:t xml:space="preser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90C26">
        <w:rPr>
          <w:rFonts w:ascii="Arial" w:hAnsi="Arial" w:cs="Arial"/>
          <w:sz w:val="22"/>
          <w:szCs w:val="22"/>
        </w:rPr>
        <w:lastRenderedPageBreak/>
        <w:t>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5BE4" w14:textId="77777777" w:rsidR="00431C63" w:rsidRDefault="00431C63" w:rsidP="00F51BB6">
      <w:r>
        <w:separator/>
      </w:r>
    </w:p>
  </w:endnote>
  <w:endnote w:type="continuationSeparator" w:id="0">
    <w:p w14:paraId="1EDE6834" w14:textId="77777777" w:rsidR="00431C63" w:rsidRDefault="00431C63"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
    <w:altName w:val="Arial"/>
    <w:panose1 w:val="020B0604020202020204"/>
    <w:charset w:val="EE"/>
    <w:family w:val="swiss"/>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806551">
          <w:rPr>
            <w:rFonts w:ascii="Arial" w:hAnsi="Arial" w:cs="Arial"/>
            <w:noProof/>
            <w:sz w:val="16"/>
            <w:szCs w:val="16"/>
          </w:rPr>
          <w:t>6</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DEBFDA" w14:textId="77777777" w:rsidR="00431C63" w:rsidRDefault="00431C63" w:rsidP="00F51BB6">
      <w:r>
        <w:separator/>
      </w:r>
    </w:p>
  </w:footnote>
  <w:footnote w:type="continuationSeparator" w:id="0">
    <w:p w14:paraId="41CFE5E5" w14:textId="77777777" w:rsidR="00431C63" w:rsidRDefault="00431C63"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CFA1131"/>
    <w:multiLevelType w:val="hybridMultilevel"/>
    <w:tmpl w:val="A696479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BBA4756"/>
    <w:multiLevelType w:val="hybridMultilevel"/>
    <w:tmpl w:val="65FCE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7">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1"/>
  </w:num>
  <w:num w:numId="3">
    <w:abstractNumId w:val="8"/>
  </w:num>
  <w:num w:numId="4">
    <w:abstractNumId w:val="11"/>
  </w:num>
  <w:num w:numId="5">
    <w:abstractNumId w:val="12"/>
  </w:num>
  <w:num w:numId="6">
    <w:abstractNumId w:val="3"/>
  </w:num>
  <w:num w:numId="7">
    <w:abstractNumId w:val="5"/>
  </w:num>
  <w:num w:numId="8">
    <w:abstractNumId w:val="18"/>
  </w:num>
  <w:num w:numId="9">
    <w:abstractNumId w:val="2"/>
  </w:num>
  <w:num w:numId="10">
    <w:abstractNumId w:val="16"/>
  </w:num>
  <w:num w:numId="11">
    <w:abstractNumId w:val="9"/>
  </w:num>
  <w:num w:numId="12">
    <w:abstractNumId w:val="19"/>
  </w:num>
  <w:num w:numId="13">
    <w:abstractNumId w:val="20"/>
  </w:num>
  <w:num w:numId="14">
    <w:abstractNumId w:val="6"/>
  </w:num>
  <w:num w:numId="15">
    <w:abstractNumId w:val="14"/>
  </w:num>
  <w:num w:numId="16">
    <w:abstractNumId w:val="0"/>
  </w:num>
  <w:num w:numId="17">
    <w:abstractNumId w:val="7"/>
  </w:num>
  <w:num w:numId="18">
    <w:abstractNumId w:val="13"/>
  </w:num>
  <w:num w:numId="19">
    <w:abstractNumId w:val="17"/>
  </w:num>
  <w:num w:numId="20">
    <w:abstractNumId w:val="10"/>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31C63"/>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B67C5"/>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06551"/>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57F4D"/>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2874</Words>
  <Characters>19837</Characters>
  <Application>Microsoft Office Word</Application>
  <DocSecurity>0</DocSecurity>
  <Lines>165</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22666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Németh Katalin</cp:lastModifiedBy>
  <cp:revision>3</cp:revision>
  <cp:lastPrinted>2012-09-14T08:15:00Z</cp:lastPrinted>
  <dcterms:created xsi:type="dcterms:W3CDTF">2015-09-09T12:49:00Z</dcterms:created>
  <dcterms:modified xsi:type="dcterms:W3CDTF">2015-09-09T12:52:00Z</dcterms:modified>
</cp:coreProperties>
</file>